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AA" w:rsidRPr="00820BB2" w:rsidRDefault="0010540A" w:rsidP="00F9735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BB2">
        <w:rPr>
          <w:rFonts w:ascii="Times New Roman" w:hAnsi="Times New Roman" w:cs="Times New Roman"/>
          <w:b/>
          <w:sz w:val="28"/>
          <w:szCs w:val="28"/>
        </w:rPr>
        <w:t>Структу</w:t>
      </w:r>
      <w:r w:rsidR="00217158">
        <w:rPr>
          <w:rFonts w:ascii="Times New Roman" w:hAnsi="Times New Roman" w:cs="Times New Roman"/>
          <w:b/>
          <w:sz w:val="28"/>
          <w:szCs w:val="28"/>
        </w:rPr>
        <w:t>ра внешней торговли претерпела</w:t>
      </w:r>
      <w:r w:rsidRPr="00820BB2">
        <w:rPr>
          <w:rFonts w:ascii="Times New Roman" w:hAnsi="Times New Roman" w:cs="Times New Roman"/>
          <w:b/>
          <w:sz w:val="28"/>
          <w:szCs w:val="28"/>
        </w:rPr>
        <w:t xml:space="preserve"> изменения</w:t>
      </w:r>
    </w:p>
    <w:p w:rsidR="0010540A" w:rsidRPr="00435FB5" w:rsidRDefault="0010540A" w:rsidP="00105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минувшем году з</w:t>
      </w:r>
      <w:r w:rsidRPr="00435FB5">
        <w:rPr>
          <w:rFonts w:ascii="Times New Roman" w:hAnsi="Times New Roman" w:cs="Times New Roman"/>
          <w:sz w:val="28"/>
          <w:szCs w:val="28"/>
        </w:rPr>
        <w:t>начительно изменилось соотношение экспорта и импорта в общем объеме внешней торговли</w:t>
      </w:r>
      <w:r w:rsidR="00EA5FFA" w:rsidRPr="00EA5FFA">
        <w:rPr>
          <w:rFonts w:ascii="Times New Roman" w:hAnsi="Times New Roman" w:cs="Times New Roman"/>
          <w:sz w:val="28"/>
          <w:szCs w:val="28"/>
        </w:rPr>
        <w:t xml:space="preserve"> </w:t>
      </w:r>
      <w:r w:rsidR="00EA5FFA">
        <w:rPr>
          <w:rFonts w:ascii="Times New Roman" w:hAnsi="Times New Roman" w:cs="Times New Roman"/>
          <w:sz w:val="28"/>
          <w:szCs w:val="28"/>
        </w:rPr>
        <w:t>Удмуртии</w:t>
      </w:r>
      <w:r w:rsidRPr="00435FB5">
        <w:rPr>
          <w:rFonts w:ascii="Times New Roman" w:hAnsi="Times New Roman" w:cs="Times New Roman"/>
          <w:sz w:val="28"/>
          <w:szCs w:val="28"/>
        </w:rPr>
        <w:t>: в 2016 году экспорт составлял две третьи внешнеторгового оборота, а в 2017 году удельные веса экспорта и импорта почти сравнялись.</w:t>
      </w:r>
    </w:p>
    <w:p w:rsidR="005B56AB" w:rsidRPr="00FA24DA" w:rsidRDefault="00435FB5" w:rsidP="005B56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6350</wp:posOffset>
            </wp:positionV>
            <wp:extent cx="3990975" cy="2590800"/>
            <wp:effectExtent l="19050" t="0" r="9525" b="0"/>
            <wp:wrapSquare wrapText="bothSides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="005B56AB" w:rsidRPr="006E6485">
        <w:rPr>
          <w:rFonts w:ascii="Times New Roman" w:hAnsi="Times New Roman" w:cs="Times New Roman"/>
          <w:b/>
          <w:i/>
          <w:sz w:val="28"/>
          <w:szCs w:val="28"/>
        </w:rPr>
        <w:t>Общая стоимость продукции, постав</w:t>
      </w:r>
      <w:r w:rsidR="004A6BF9">
        <w:rPr>
          <w:rFonts w:ascii="Times New Roman" w:hAnsi="Times New Roman" w:cs="Times New Roman"/>
          <w:b/>
          <w:i/>
          <w:sz w:val="28"/>
          <w:szCs w:val="28"/>
        </w:rPr>
        <w:t>ленной на экспорт, составила 328</w:t>
      </w:r>
      <w:r w:rsidR="00820BB2">
        <w:rPr>
          <w:rFonts w:ascii="Times New Roman" w:hAnsi="Times New Roman" w:cs="Times New Roman"/>
          <w:b/>
          <w:i/>
          <w:sz w:val="28"/>
          <w:szCs w:val="28"/>
        </w:rPr>
        <w:t> млн. долларов</w:t>
      </w:r>
      <w:r w:rsidR="005B56AB" w:rsidRPr="006E64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B56AB">
        <w:rPr>
          <w:rFonts w:ascii="Times New Roman" w:hAnsi="Times New Roman" w:cs="Times New Roman"/>
          <w:sz w:val="28"/>
          <w:szCs w:val="28"/>
        </w:rPr>
        <w:t xml:space="preserve">– это </w:t>
      </w:r>
      <w:r w:rsidR="00217158">
        <w:rPr>
          <w:rFonts w:ascii="Times New Roman" w:hAnsi="Times New Roman" w:cs="Times New Roman"/>
          <w:sz w:val="28"/>
          <w:szCs w:val="28"/>
        </w:rPr>
        <w:t>в 1,6 раза</w:t>
      </w:r>
      <w:r w:rsidR="005B56AB">
        <w:rPr>
          <w:rFonts w:ascii="Times New Roman" w:hAnsi="Times New Roman" w:cs="Times New Roman"/>
          <w:sz w:val="28"/>
          <w:szCs w:val="28"/>
        </w:rPr>
        <w:t xml:space="preserve"> меньше, чем в 2016 год</w:t>
      </w:r>
      <w:r w:rsidR="004A6BF9">
        <w:rPr>
          <w:rFonts w:ascii="Times New Roman" w:hAnsi="Times New Roman" w:cs="Times New Roman"/>
          <w:sz w:val="28"/>
          <w:szCs w:val="28"/>
        </w:rPr>
        <w:t>у</w:t>
      </w:r>
      <w:r w:rsidR="005B56AB" w:rsidRPr="00FA24DA">
        <w:rPr>
          <w:rFonts w:ascii="Times New Roman" w:hAnsi="Times New Roman" w:cs="Times New Roman"/>
          <w:sz w:val="28"/>
          <w:szCs w:val="28"/>
        </w:rPr>
        <w:t xml:space="preserve">. </w:t>
      </w:r>
      <w:r w:rsidR="004A6BF9" w:rsidRPr="00FA24DA">
        <w:rPr>
          <w:rFonts w:ascii="Times New Roman" w:hAnsi="Times New Roman" w:cs="Times New Roman"/>
          <w:sz w:val="28"/>
          <w:szCs w:val="28"/>
        </w:rPr>
        <w:t xml:space="preserve">Основная статья экспорта </w:t>
      </w:r>
      <w:r w:rsidR="00857D9D" w:rsidRPr="00FA24DA"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="005B56AB" w:rsidRPr="00FA24DA">
        <w:rPr>
          <w:rFonts w:ascii="Times New Roman" w:hAnsi="Times New Roman" w:cs="Times New Roman"/>
          <w:sz w:val="28"/>
          <w:szCs w:val="28"/>
        </w:rPr>
        <w:t xml:space="preserve"> –</w:t>
      </w:r>
      <w:r w:rsidR="00217158">
        <w:rPr>
          <w:rFonts w:ascii="Times New Roman" w:hAnsi="Times New Roman" w:cs="Times New Roman"/>
          <w:sz w:val="28"/>
          <w:szCs w:val="28"/>
        </w:rPr>
        <w:t xml:space="preserve"> реализация</w:t>
      </w:r>
      <w:r w:rsidR="004A6BF9" w:rsidRPr="00FA24DA">
        <w:rPr>
          <w:rFonts w:ascii="Times New Roman" w:hAnsi="Times New Roman" w:cs="Times New Roman"/>
          <w:sz w:val="28"/>
          <w:szCs w:val="28"/>
        </w:rPr>
        <w:t xml:space="preserve"> за рубеж</w:t>
      </w:r>
      <w:r w:rsidR="005B56AB" w:rsidRPr="00FA24DA">
        <w:rPr>
          <w:rFonts w:ascii="Times New Roman" w:hAnsi="Times New Roman" w:cs="Times New Roman"/>
          <w:sz w:val="28"/>
          <w:szCs w:val="28"/>
        </w:rPr>
        <w:t xml:space="preserve"> нефтепродуктов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4DA">
        <w:rPr>
          <w:rFonts w:ascii="Times New Roman" w:hAnsi="Times New Roman" w:cs="Times New Roman"/>
          <w:sz w:val="28"/>
          <w:szCs w:val="28"/>
        </w:rPr>
        <w:t>(38%</w:t>
      </w:r>
      <w:r w:rsidR="00217158">
        <w:rPr>
          <w:rFonts w:ascii="Times New Roman" w:hAnsi="Times New Roman" w:cs="Times New Roman"/>
          <w:sz w:val="28"/>
          <w:szCs w:val="28"/>
        </w:rPr>
        <w:t xml:space="preserve"> дохода от</w:t>
      </w:r>
      <w:r>
        <w:rPr>
          <w:rFonts w:ascii="Times New Roman" w:hAnsi="Times New Roman" w:cs="Times New Roman"/>
          <w:sz w:val="28"/>
          <w:szCs w:val="28"/>
        </w:rPr>
        <w:t xml:space="preserve"> экспорта</w:t>
      </w:r>
      <w:r w:rsidRPr="00FA24DA">
        <w:rPr>
          <w:rFonts w:ascii="Times New Roman" w:hAnsi="Times New Roman" w:cs="Times New Roman"/>
          <w:sz w:val="28"/>
          <w:szCs w:val="28"/>
        </w:rPr>
        <w:t>)</w:t>
      </w:r>
      <w:r w:rsidR="000E55F0">
        <w:rPr>
          <w:rFonts w:ascii="Times New Roman" w:hAnsi="Times New Roman" w:cs="Times New Roman"/>
          <w:sz w:val="28"/>
          <w:szCs w:val="28"/>
        </w:rPr>
        <w:t>.</w:t>
      </w:r>
      <w:r w:rsidR="00857D9D" w:rsidRPr="00FA24DA">
        <w:rPr>
          <w:rFonts w:ascii="Times New Roman" w:hAnsi="Times New Roman" w:cs="Times New Roman"/>
          <w:sz w:val="28"/>
          <w:szCs w:val="28"/>
        </w:rPr>
        <w:t xml:space="preserve"> </w:t>
      </w:r>
      <w:r w:rsidR="000E55F0">
        <w:rPr>
          <w:rFonts w:ascii="Times New Roman" w:hAnsi="Times New Roman" w:cs="Times New Roman"/>
          <w:sz w:val="28"/>
          <w:szCs w:val="28"/>
        </w:rPr>
        <w:t>П</w:t>
      </w:r>
      <w:r w:rsidR="00857D9D" w:rsidRPr="00FA24DA">
        <w:rPr>
          <w:rFonts w:ascii="Times New Roman" w:hAnsi="Times New Roman" w:cs="Times New Roman"/>
          <w:sz w:val="28"/>
          <w:szCs w:val="28"/>
        </w:rPr>
        <w:t xml:space="preserve">очти половина </w:t>
      </w:r>
      <w:r w:rsidR="000E55F0">
        <w:rPr>
          <w:rFonts w:ascii="Times New Roman" w:hAnsi="Times New Roman" w:cs="Times New Roman"/>
          <w:sz w:val="28"/>
          <w:szCs w:val="28"/>
        </w:rPr>
        <w:t>продукции нефтепереработки</w:t>
      </w:r>
      <w:r w:rsidR="00857D9D" w:rsidRPr="00FA24DA">
        <w:rPr>
          <w:rFonts w:ascii="Times New Roman" w:hAnsi="Times New Roman" w:cs="Times New Roman"/>
          <w:sz w:val="28"/>
          <w:szCs w:val="28"/>
        </w:rPr>
        <w:t xml:space="preserve"> была отправлена</w:t>
      </w:r>
      <w:r w:rsidR="005B56AB" w:rsidRPr="00FA24DA">
        <w:rPr>
          <w:rFonts w:ascii="Times New Roman" w:hAnsi="Times New Roman" w:cs="Times New Roman"/>
          <w:sz w:val="28"/>
          <w:szCs w:val="28"/>
        </w:rPr>
        <w:t xml:space="preserve"> во Францию</w:t>
      </w:r>
      <w:r w:rsidR="000E55F0">
        <w:rPr>
          <w:rFonts w:ascii="Times New Roman" w:hAnsi="Times New Roman" w:cs="Times New Roman"/>
          <w:sz w:val="28"/>
          <w:szCs w:val="28"/>
        </w:rPr>
        <w:t>, треть – в Нидерланды</w:t>
      </w:r>
      <w:r w:rsidR="00857D9D" w:rsidRPr="00FA24DA">
        <w:rPr>
          <w:rFonts w:ascii="Times New Roman" w:hAnsi="Times New Roman" w:cs="Times New Roman"/>
          <w:sz w:val="28"/>
          <w:szCs w:val="28"/>
        </w:rPr>
        <w:t>.</w:t>
      </w:r>
      <w:r w:rsidR="005B56AB" w:rsidRPr="00FA24DA">
        <w:rPr>
          <w:rFonts w:ascii="Times New Roman" w:hAnsi="Times New Roman" w:cs="Times New Roman"/>
          <w:sz w:val="28"/>
          <w:szCs w:val="28"/>
        </w:rPr>
        <w:t xml:space="preserve"> </w:t>
      </w:r>
      <w:r w:rsidR="00291177">
        <w:rPr>
          <w:rFonts w:ascii="Times New Roman" w:hAnsi="Times New Roman" w:cs="Times New Roman"/>
          <w:sz w:val="28"/>
          <w:szCs w:val="28"/>
        </w:rPr>
        <w:t>П</w:t>
      </w:r>
      <w:r w:rsidR="00217158">
        <w:rPr>
          <w:rFonts w:ascii="Times New Roman" w:hAnsi="Times New Roman" w:cs="Times New Roman"/>
          <w:sz w:val="28"/>
          <w:szCs w:val="28"/>
        </w:rPr>
        <w:t>о сравнению с предыдущим</w:t>
      </w:r>
      <w:r w:rsidR="00857D9D" w:rsidRPr="00FA24DA">
        <w:rPr>
          <w:rFonts w:ascii="Times New Roman" w:hAnsi="Times New Roman" w:cs="Times New Roman"/>
          <w:sz w:val="28"/>
          <w:szCs w:val="28"/>
        </w:rPr>
        <w:t xml:space="preserve"> годом доля нефтепродуктов в товарной структуре экспорта снизилась на 9 процентных пунктов</w:t>
      </w:r>
      <w:r w:rsidR="00FA24DA" w:rsidRPr="00FA24DA">
        <w:rPr>
          <w:rFonts w:ascii="Times New Roman" w:hAnsi="Times New Roman" w:cs="Times New Roman"/>
          <w:sz w:val="28"/>
          <w:szCs w:val="28"/>
        </w:rPr>
        <w:t>, а в стоимостном выражении доход от и</w:t>
      </w:r>
      <w:r w:rsidR="000E55F0">
        <w:rPr>
          <w:rFonts w:ascii="Times New Roman" w:hAnsi="Times New Roman" w:cs="Times New Roman"/>
          <w:sz w:val="28"/>
          <w:szCs w:val="28"/>
        </w:rPr>
        <w:t>х реализации сократился почти вдвое</w:t>
      </w:r>
      <w:r w:rsidR="00FA24DA" w:rsidRPr="00FA24DA">
        <w:rPr>
          <w:rFonts w:ascii="Times New Roman" w:hAnsi="Times New Roman" w:cs="Times New Roman"/>
          <w:sz w:val="28"/>
          <w:szCs w:val="28"/>
        </w:rPr>
        <w:t>.</w:t>
      </w:r>
    </w:p>
    <w:p w:rsidR="005B56AB" w:rsidRDefault="005B56AB" w:rsidP="005B56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импорту </w:t>
      </w:r>
      <w:r w:rsidRPr="0081780E">
        <w:rPr>
          <w:rFonts w:ascii="Times New Roman" w:hAnsi="Times New Roman" w:cs="Times New Roman"/>
          <w:b/>
          <w:i/>
          <w:sz w:val="28"/>
          <w:szCs w:val="28"/>
        </w:rPr>
        <w:t>в республику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было</w:t>
      </w:r>
      <w:r w:rsidRPr="006E64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завезен</w:t>
      </w:r>
      <w:r w:rsidRPr="006E6485"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продукции на</w:t>
      </w:r>
      <w:r w:rsidR="004A6BF9">
        <w:rPr>
          <w:rFonts w:ascii="Times New Roman" w:hAnsi="Times New Roman" w:cs="Times New Roman"/>
          <w:b/>
          <w:i/>
          <w:sz w:val="28"/>
          <w:szCs w:val="28"/>
        </w:rPr>
        <w:t xml:space="preserve"> 290</w:t>
      </w:r>
      <w:r w:rsidRPr="006E6485">
        <w:rPr>
          <w:rFonts w:ascii="Times New Roman" w:hAnsi="Times New Roman" w:cs="Times New Roman"/>
          <w:b/>
          <w:i/>
          <w:sz w:val="28"/>
          <w:szCs w:val="28"/>
        </w:rPr>
        <w:t> </w:t>
      </w:r>
      <w:r>
        <w:rPr>
          <w:rFonts w:ascii="Times New Roman" w:hAnsi="Times New Roman" w:cs="Times New Roman"/>
          <w:b/>
          <w:i/>
          <w:sz w:val="28"/>
          <w:szCs w:val="28"/>
        </w:rPr>
        <w:t>млн. </w:t>
      </w:r>
      <w:r w:rsidRPr="006E6485">
        <w:rPr>
          <w:rFonts w:ascii="Times New Roman" w:hAnsi="Times New Roman" w:cs="Times New Roman"/>
          <w:b/>
          <w:i/>
          <w:sz w:val="28"/>
          <w:szCs w:val="28"/>
        </w:rPr>
        <w:t>долларов</w:t>
      </w:r>
      <w:r w:rsidR="00217158">
        <w:rPr>
          <w:rFonts w:ascii="Times New Roman" w:hAnsi="Times New Roman" w:cs="Times New Roman"/>
          <w:sz w:val="28"/>
          <w:szCs w:val="28"/>
        </w:rPr>
        <w:t>, в 2016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A6BF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эта цифра была на </w:t>
      </w:r>
      <w:r w:rsidR="004A6BF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4A6BF9">
        <w:rPr>
          <w:rFonts w:ascii="Times New Roman" w:hAnsi="Times New Roman" w:cs="Times New Roman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. Более 60% импортированных товаров – продукция машиностроения, </w:t>
      </w:r>
      <w:r w:rsidR="000E55F0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305FD1">
        <w:rPr>
          <w:rFonts w:ascii="Times New Roman" w:hAnsi="Times New Roman" w:cs="Times New Roman"/>
          <w:sz w:val="28"/>
          <w:szCs w:val="28"/>
        </w:rPr>
        <w:t>поставщик</w:t>
      </w:r>
      <w:r w:rsidR="000E55F0">
        <w:rPr>
          <w:rFonts w:ascii="Times New Roman" w:hAnsi="Times New Roman" w:cs="Times New Roman"/>
          <w:sz w:val="28"/>
          <w:szCs w:val="28"/>
        </w:rPr>
        <w:t>а</w:t>
      </w:r>
      <w:r w:rsidR="00305FD1">
        <w:rPr>
          <w:rFonts w:ascii="Times New Roman" w:hAnsi="Times New Roman" w:cs="Times New Roman"/>
          <w:sz w:val="28"/>
          <w:szCs w:val="28"/>
        </w:rPr>
        <w:t>м</w:t>
      </w:r>
      <w:r w:rsidR="000E55F0">
        <w:rPr>
          <w:rFonts w:ascii="Times New Roman" w:hAnsi="Times New Roman" w:cs="Times New Roman"/>
          <w:sz w:val="28"/>
          <w:szCs w:val="28"/>
        </w:rPr>
        <w:t>и</w:t>
      </w:r>
      <w:r w:rsidR="00305FD1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291177">
        <w:rPr>
          <w:rFonts w:ascii="Times New Roman" w:hAnsi="Times New Roman" w:cs="Times New Roman"/>
          <w:sz w:val="28"/>
          <w:szCs w:val="28"/>
        </w:rPr>
        <w:t>был</w:t>
      </w:r>
      <w:r w:rsidR="000E55F0">
        <w:rPr>
          <w:rFonts w:ascii="Times New Roman" w:hAnsi="Times New Roman" w:cs="Times New Roman"/>
          <w:sz w:val="28"/>
          <w:szCs w:val="28"/>
        </w:rPr>
        <w:t>и партнеры из</w:t>
      </w:r>
      <w:r>
        <w:rPr>
          <w:rFonts w:ascii="Times New Roman" w:hAnsi="Times New Roman" w:cs="Times New Roman"/>
          <w:sz w:val="28"/>
          <w:szCs w:val="28"/>
        </w:rPr>
        <w:t xml:space="preserve"> Кита</w:t>
      </w:r>
      <w:r w:rsidR="000E55F0">
        <w:rPr>
          <w:rFonts w:ascii="Times New Roman" w:hAnsi="Times New Roman" w:cs="Times New Roman"/>
          <w:sz w:val="28"/>
          <w:szCs w:val="28"/>
        </w:rPr>
        <w:t>я</w:t>
      </w:r>
      <w:r w:rsidR="00113318">
        <w:rPr>
          <w:rFonts w:ascii="Times New Roman" w:hAnsi="Times New Roman" w:cs="Times New Roman"/>
          <w:sz w:val="28"/>
          <w:szCs w:val="28"/>
        </w:rPr>
        <w:t xml:space="preserve"> (28% импорта машин и оборудования), Польши (14%), Румынии (9%).</w:t>
      </w:r>
    </w:p>
    <w:p w:rsidR="0010540A" w:rsidRDefault="008D6467" w:rsidP="008D64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</w:t>
      </w:r>
      <w:r w:rsidR="0010540A">
        <w:rPr>
          <w:rFonts w:ascii="Times New Roman" w:hAnsi="Times New Roman" w:cs="Times New Roman"/>
          <w:sz w:val="28"/>
          <w:szCs w:val="28"/>
        </w:rPr>
        <w:t xml:space="preserve">о итогам 2017 года </w:t>
      </w:r>
      <w:r w:rsidR="0010540A" w:rsidRPr="00F97356">
        <w:rPr>
          <w:rFonts w:ascii="Times New Roman" w:hAnsi="Times New Roman" w:cs="Times New Roman"/>
          <w:b/>
          <w:i/>
          <w:sz w:val="28"/>
          <w:szCs w:val="28"/>
        </w:rPr>
        <w:t>внешнеторговый оборот</w:t>
      </w:r>
      <w:r w:rsidR="0010540A">
        <w:rPr>
          <w:rFonts w:ascii="Times New Roman" w:hAnsi="Times New Roman" w:cs="Times New Roman"/>
          <w:sz w:val="28"/>
          <w:szCs w:val="28"/>
        </w:rPr>
        <w:t xml:space="preserve"> Удмуртии </w:t>
      </w:r>
      <w:r w:rsidR="0010540A" w:rsidRPr="001E2396">
        <w:rPr>
          <w:rFonts w:ascii="Times New Roman" w:hAnsi="Times New Roman" w:cs="Times New Roman"/>
          <w:sz w:val="28"/>
          <w:szCs w:val="28"/>
        </w:rPr>
        <w:t xml:space="preserve">снизился на </w:t>
      </w:r>
      <w:r w:rsidR="0010540A">
        <w:rPr>
          <w:rFonts w:ascii="Times New Roman" w:hAnsi="Times New Roman" w:cs="Times New Roman"/>
          <w:sz w:val="28"/>
          <w:szCs w:val="28"/>
        </w:rPr>
        <w:t>21%</w:t>
      </w:r>
      <w:r w:rsidR="0010540A" w:rsidRPr="001E2396">
        <w:rPr>
          <w:rFonts w:ascii="Times New Roman" w:hAnsi="Times New Roman" w:cs="Times New Roman"/>
          <w:sz w:val="28"/>
          <w:szCs w:val="28"/>
        </w:rPr>
        <w:t xml:space="preserve"> </w:t>
      </w:r>
      <w:r w:rsidR="0010540A">
        <w:rPr>
          <w:rFonts w:ascii="Times New Roman" w:hAnsi="Times New Roman" w:cs="Times New Roman"/>
          <w:sz w:val="28"/>
          <w:szCs w:val="28"/>
        </w:rPr>
        <w:t xml:space="preserve">по сравнению с предыдущим годом и </w:t>
      </w:r>
      <w:r w:rsidR="0010540A" w:rsidRPr="00F97356">
        <w:rPr>
          <w:rFonts w:ascii="Times New Roman" w:hAnsi="Times New Roman" w:cs="Times New Roman"/>
          <w:b/>
          <w:i/>
          <w:sz w:val="28"/>
          <w:szCs w:val="28"/>
        </w:rPr>
        <w:t>составил 618 млн. долларов</w:t>
      </w:r>
      <w:r w:rsidR="0010540A">
        <w:rPr>
          <w:rFonts w:ascii="Times New Roman" w:hAnsi="Times New Roman" w:cs="Times New Roman"/>
          <w:sz w:val="28"/>
          <w:szCs w:val="28"/>
        </w:rPr>
        <w:t>. Большая часть внешнеторгового оборота (82%) – это торговля со странами дальнего зарубежья. Из 110 млн. долларов, приходящихся на торговлю со странами СНГ, 79% – это сделки с государствами, входящими в ЕАЭС (Армения, Беларусь, Казахстан, Киргизия).</w:t>
      </w:r>
    </w:p>
    <w:sectPr w:rsidR="0010540A" w:rsidSect="00EE3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5DCD"/>
    <w:rsid w:val="000E55F0"/>
    <w:rsid w:val="0010540A"/>
    <w:rsid w:val="00113318"/>
    <w:rsid w:val="00147A42"/>
    <w:rsid w:val="001E2396"/>
    <w:rsid w:val="00217158"/>
    <w:rsid w:val="002540C8"/>
    <w:rsid w:val="00291177"/>
    <w:rsid w:val="00305FD1"/>
    <w:rsid w:val="00324E26"/>
    <w:rsid w:val="00435FB5"/>
    <w:rsid w:val="004A6BF9"/>
    <w:rsid w:val="00530AA9"/>
    <w:rsid w:val="005B56AB"/>
    <w:rsid w:val="00754BDB"/>
    <w:rsid w:val="00820BB2"/>
    <w:rsid w:val="00857D9D"/>
    <w:rsid w:val="008D6467"/>
    <w:rsid w:val="00975DCD"/>
    <w:rsid w:val="00A416AA"/>
    <w:rsid w:val="00A64775"/>
    <w:rsid w:val="00C53C8B"/>
    <w:rsid w:val="00D4413F"/>
    <w:rsid w:val="00D9019F"/>
    <w:rsid w:val="00EA5FFA"/>
    <w:rsid w:val="00EE3B99"/>
    <w:rsid w:val="00F9656A"/>
    <w:rsid w:val="00F97356"/>
    <w:rsid w:val="00FA2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5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floor>
      <c:spPr>
        <a:solidFill>
          <a:schemeClr val="accent3">
            <a:lumMod val="20000"/>
            <a:lumOff val="80000"/>
          </a:schemeClr>
        </a:solidFill>
      </c:spPr>
    </c:floor>
    <c:sideWall>
      <c:spPr>
        <a:solidFill>
          <a:schemeClr val="accent3">
            <a:lumMod val="20000"/>
            <a:lumOff val="80000"/>
          </a:schemeClr>
        </a:solidFill>
      </c:spPr>
    </c:sideWall>
    <c:backWall>
      <c:spPr>
        <a:solidFill>
          <a:schemeClr val="accent3">
            <a:lumMod val="20000"/>
            <a:lumOff val="80000"/>
          </a:schemeClr>
        </a:solidFill>
      </c:spPr>
    </c:backWall>
    <c:plotArea>
      <c:layout>
        <c:manualLayout>
          <c:layoutTarget val="inner"/>
          <c:xMode val="edge"/>
          <c:yMode val="edge"/>
          <c:x val="0.11622673657439611"/>
          <c:y val="0.14394009572332903"/>
          <c:w val="0.88377314814815366"/>
          <c:h val="0.59322278513633064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Экспорт</c:v>
                </c:pt>
              </c:strCache>
            </c:strRef>
          </c:tx>
          <c:spPr>
            <a:gradFill>
              <a:gsLst>
                <a:gs pos="0">
                  <a:srgbClr val="8488C4"/>
                </a:gs>
                <a:gs pos="53000">
                  <a:srgbClr val="D4DEFF"/>
                </a:gs>
                <a:gs pos="83000">
                  <a:srgbClr val="D4DEFF"/>
                </a:gs>
                <a:gs pos="100000">
                  <a:srgbClr val="96AB94"/>
                </a:gs>
              </a:gsLst>
              <a:lin ang="5400000" scaled="0"/>
            </a:gradFill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dLbls>
            <c:dLbl>
              <c:idx val="0"/>
              <c:layout>
                <c:manualLayout>
                  <c:x val="1.591089896579157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511</a:t>
                    </a:r>
                    <a:r>
                      <a:rPr lang="ru-RU"/>
                      <a:t>,</a:t>
                    </a:r>
                    <a:r>
                      <a:rPr lang="en-US"/>
                      <a:t>8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5457438345266509E-2"/>
                  <c:y val="-4.90196078431374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327</a:t>
                    </a:r>
                    <a:r>
                      <a:rPr lang="ru-RU"/>
                      <a:t>,</a:t>
                    </a:r>
                    <a:r>
                      <a:rPr lang="en-US"/>
                      <a:t>9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2016 г.</c:v>
                </c:pt>
                <c:pt idx="1">
                  <c:v>2017 г.</c:v>
                </c:pt>
              </c:strCache>
            </c:strRef>
          </c:cat>
          <c:val>
            <c:numRef>
              <c:f>Лист1!$B$2:$B$3</c:f>
              <c:numCache>
                <c:formatCode>0.0</c:formatCode>
                <c:ptCount val="2"/>
                <c:pt idx="0">
                  <c:v>511.8</c:v>
                </c:pt>
                <c:pt idx="1">
                  <c:v>327.9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Импорт</c:v>
                </c:pt>
              </c:strCache>
            </c:strRef>
          </c:tx>
          <c:spPr>
            <a:gradFill>
              <a:gsLst>
                <a:gs pos="0">
                  <a:srgbClr val="FFF200"/>
                </a:gs>
                <a:gs pos="45000">
                  <a:srgbClr val="FF7A00"/>
                </a:gs>
                <a:gs pos="70000">
                  <a:srgbClr val="FF0300"/>
                </a:gs>
                <a:gs pos="100000">
                  <a:srgbClr val="4D0808"/>
                </a:gs>
              </a:gsLst>
              <a:lin ang="5400000" scaled="0"/>
            </a:gradFill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dLbls>
            <c:dLbl>
              <c:idx val="0"/>
              <c:layout>
                <c:manualLayout>
                  <c:x val="1.591089896579157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270</a:t>
                    </a:r>
                    <a:r>
                      <a:rPr lang="ru-RU"/>
                      <a:t>,</a:t>
                    </a:r>
                    <a:r>
                      <a:rPr lang="en-US"/>
                      <a:t>9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1.9093078758949885E-2"/>
                  <c:y val="-4.90196078431374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289</a:t>
                    </a:r>
                    <a:r>
                      <a:rPr lang="ru-RU"/>
                      <a:t>,</a:t>
                    </a:r>
                    <a:r>
                      <a:rPr lang="en-US"/>
                      <a:t>9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2016 г.</c:v>
                </c:pt>
                <c:pt idx="1">
                  <c:v>2017 г.</c:v>
                </c:pt>
              </c:strCache>
            </c:strRef>
          </c:cat>
          <c:val>
            <c:numRef>
              <c:f>Лист1!$C$2:$C$3</c:f>
              <c:numCache>
                <c:formatCode>0.0</c:formatCode>
                <c:ptCount val="2"/>
                <c:pt idx="0">
                  <c:v>270.89999999999969</c:v>
                </c:pt>
                <c:pt idx="1">
                  <c:v>289.89999999999969</c:v>
                </c:pt>
              </c:numCache>
            </c:numRef>
          </c:val>
        </c:ser>
        <c:gapWidth val="230"/>
        <c:shape val="cylinder"/>
        <c:axId val="86876160"/>
        <c:axId val="86877696"/>
        <c:axId val="0"/>
      </c:bar3DChart>
      <c:catAx>
        <c:axId val="8687616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6877696"/>
        <c:crosses val="autoZero"/>
        <c:auto val="1"/>
        <c:lblAlgn val="ctr"/>
        <c:lblOffset val="100"/>
      </c:catAx>
      <c:valAx>
        <c:axId val="86877696"/>
        <c:scaling>
          <c:orientation val="minMax"/>
          <c:max val="800"/>
        </c:scaling>
        <c:axPos val="l"/>
        <c:numFmt formatCode="0" sourceLinked="0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6876160"/>
        <c:crosses val="autoZero"/>
        <c:crossBetween val="between"/>
        <c:majorUnit val="200"/>
      </c:valAx>
    </c:plotArea>
    <c:legend>
      <c:legendPos val="b"/>
      <c:layout>
        <c:manualLayout>
          <c:xMode val="edge"/>
          <c:yMode val="edge"/>
          <c:x val="3.0536620878594569E-2"/>
          <c:y val="0.8754277808297215"/>
          <c:w val="0.9046100989201169"/>
          <c:h val="0.10045507877406797"/>
        </c:manualLayout>
      </c:layout>
      <c:txPr>
        <a:bodyPr/>
        <a:lstStyle/>
        <a:p>
          <a:pPr>
            <a:defRPr sz="1200" b="1" i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0.47439</cdr:x>
      <cdr:y>0.40704</cdr:y>
    </cdr:from>
    <cdr:to>
      <cdr:x>0.61009</cdr:x>
      <cdr:y>0.46233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893285" y="1054551"/>
          <a:ext cx="541549" cy="1432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000" b="1" i="1">
              <a:latin typeface="Times New Roman" pitchFamily="18" charset="0"/>
              <a:cs typeface="Times New Roman" pitchFamily="18" charset="0"/>
            </a:rPr>
            <a:t>782,7</a:t>
          </a:r>
        </a:p>
      </cdr:txBody>
    </cdr:sp>
  </cdr:relSizeAnchor>
  <cdr:relSizeAnchor xmlns:cdr="http://schemas.openxmlformats.org/drawingml/2006/chartDrawing">
    <cdr:from>
      <cdr:x>0.82551</cdr:x>
      <cdr:y>0.4481</cdr:y>
    </cdr:from>
    <cdr:to>
      <cdr:x>0.94531</cdr:x>
      <cdr:y>0.51011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3294576" y="1160950"/>
          <a:ext cx="478119" cy="1606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000" b="1" i="1">
              <a:latin typeface="Times New Roman" pitchFamily="18" charset="0"/>
              <a:cs typeface="Times New Roman" pitchFamily="18" charset="0"/>
            </a:rPr>
            <a:t>617,8</a:t>
          </a:r>
        </a:p>
      </cdr:txBody>
    </cdr:sp>
  </cdr:relSizeAnchor>
  <cdr:relSizeAnchor xmlns:cdr="http://schemas.openxmlformats.org/drawingml/2006/chartDrawing">
    <cdr:from>
      <cdr:x>0.44048</cdr:x>
      <cdr:y>0.22151</cdr:y>
    </cdr:from>
    <cdr:to>
      <cdr:x>0.46725</cdr:x>
      <cdr:y>0.66832</cdr:y>
    </cdr:to>
    <cdr:sp macro="" textlink="">
      <cdr:nvSpPr>
        <cdr:cNvPr id="4" name="Правая фигурная скобка 3"/>
        <cdr:cNvSpPr/>
      </cdr:nvSpPr>
      <cdr:spPr>
        <a:xfrm xmlns:a="http://schemas.openxmlformats.org/drawingml/2006/main">
          <a:off x="1757953" y="573891"/>
          <a:ext cx="106815" cy="1157592"/>
        </a:xfrm>
        <a:prstGeom xmlns:a="http://schemas.openxmlformats.org/drawingml/2006/main" prst="rightBrac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 b="0"/>
        </a:p>
      </cdr:txBody>
    </cdr:sp>
  </cdr:relSizeAnchor>
  <cdr:relSizeAnchor xmlns:cdr="http://schemas.openxmlformats.org/drawingml/2006/chartDrawing">
    <cdr:from>
      <cdr:x>0.79071</cdr:x>
      <cdr:y>0.31571</cdr:y>
    </cdr:from>
    <cdr:to>
      <cdr:x>0.81747</cdr:x>
      <cdr:y>0.6689</cdr:y>
    </cdr:to>
    <cdr:sp macro="" textlink="">
      <cdr:nvSpPr>
        <cdr:cNvPr id="7" name="Правая фигурная скобка 6"/>
        <cdr:cNvSpPr/>
      </cdr:nvSpPr>
      <cdr:spPr>
        <a:xfrm xmlns:a="http://schemas.openxmlformats.org/drawingml/2006/main">
          <a:off x="3155695" y="817934"/>
          <a:ext cx="106814" cy="915049"/>
        </a:xfrm>
        <a:prstGeom xmlns:a="http://schemas.openxmlformats.org/drawingml/2006/main" prst="rightBrace">
          <a:avLst/>
        </a:prstGeom>
        <a:noFill xmlns:a="http://schemas.openxmlformats.org/drawingml/2006/main"/>
        <a:ln xmlns:a="http://schemas.openxmlformats.org/drawingml/2006/main" w="9525" cap="flat" cmpd="sng" algn="ctr">
          <a:solidFill>
            <a:schemeClr val="tx1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0.16706</cdr:x>
      <cdr:y>0.04044</cdr:y>
    </cdr:from>
    <cdr:to>
      <cdr:x>0.95704</cdr:x>
      <cdr:y>0.125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666750" y="104775"/>
          <a:ext cx="315277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0.06205</cdr:x>
      <cdr:y>0</cdr:y>
    </cdr:from>
    <cdr:to>
      <cdr:x>1</cdr:x>
      <cdr:y>0.09559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247650" y="0"/>
          <a:ext cx="3743325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200" b="1" i="1">
              <a:latin typeface="Times New Roman" pitchFamily="18" charset="0"/>
              <a:cs typeface="Times New Roman" pitchFamily="18" charset="0"/>
            </a:rPr>
            <a:t>    Внешнеторговый оборот,  млн. долларов США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6</cp:revision>
  <cp:lastPrinted>2018-02-28T05:13:00Z</cp:lastPrinted>
  <dcterms:created xsi:type="dcterms:W3CDTF">2018-02-27T06:03:00Z</dcterms:created>
  <dcterms:modified xsi:type="dcterms:W3CDTF">2018-03-02T04:11:00Z</dcterms:modified>
</cp:coreProperties>
</file>